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D" w:rsidRPr="0017274D" w:rsidRDefault="0017274D" w:rsidP="0017274D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b/>
          <w:bCs/>
          <w:color w:val="545454"/>
          <w:sz w:val="14"/>
          <w:lang w:eastAsia="ru-RU"/>
        </w:rPr>
        <w:t>Права и обязанности кандидатов в усыновители (опекуны, приемные родители) в процессе поиска ребенка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>При ознакомлении со сведениями  о детях-сиротах и детях, оставшихся без попечения родителей, в региональном банке данных</w:t>
      </w: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 кандидаты знакомятся с информацией о  детях, в том числе о состоянии здоровья, родителях, наличии у ребенка родственников, братьев и сестер, состоянии здоровья и др.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По результатам ознакомления кандидаты оформляют соответствующее заявление.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При желании кандидатов познакомиться с выбранным ребенком лично, выдается направление на посещение ребенка.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 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b/>
          <w:bCs/>
          <w:color w:val="545454"/>
          <w:sz w:val="14"/>
          <w:lang w:eastAsia="ru-RU"/>
        </w:rPr>
        <w:t>Направление выдается на посещение одного ребенка (если в заключени</w:t>
      </w:r>
      <w:proofErr w:type="gramStart"/>
      <w:r w:rsidRPr="0017274D">
        <w:rPr>
          <w:rFonts w:ascii="Helvetica" w:eastAsia="Times New Roman" w:hAnsi="Helvetica" w:cs="Helvetica"/>
          <w:b/>
          <w:bCs/>
          <w:color w:val="545454"/>
          <w:sz w:val="14"/>
          <w:lang w:eastAsia="ru-RU"/>
        </w:rPr>
        <w:t>и</w:t>
      </w:r>
      <w:proofErr w:type="gramEnd"/>
      <w:r w:rsidRPr="0017274D">
        <w:rPr>
          <w:rFonts w:ascii="Helvetica" w:eastAsia="Times New Roman" w:hAnsi="Helvetica" w:cs="Helvetica"/>
          <w:b/>
          <w:bCs/>
          <w:color w:val="545454"/>
          <w:sz w:val="14"/>
          <w:lang w:eastAsia="ru-RU"/>
        </w:rPr>
        <w:t xml:space="preserve"> о возможности быть усыновителем, опекуном (попечителем), приемным родителем не указано большее количество детей) и действительно в течение </w:t>
      </w:r>
      <w:r w:rsidRPr="0017274D">
        <w:rPr>
          <w:rFonts w:ascii="Helvetica" w:eastAsia="Times New Roman" w:hAnsi="Helvetica" w:cs="Helvetica"/>
          <w:b/>
          <w:bCs/>
          <w:color w:val="545454"/>
          <w:sz w:val="14"/>
          <w:u w:val="single"/>
          <w:lang w:eastAsia="ru-RU"/>
        </w:rPr>
        <w:t>10 рабочих дней с даты его выдачи.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>При посещении ребенка в учреждении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>кандидаты имеют право и обязаны: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получить подробную информацию о ребенке и сведения о наличии у него родственников;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познакомиться с ребенком и установить с ним контакт;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ознакомиться с документами ребенка;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подтвердить в письменной форме факт ознакомления с медицинским заключением о состоянии здоровья ребенка;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провести независимое медицинское освидетельствование, с участием представителя учреждения, в котором находится ребенок;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- сообщить в установленный для посещения ребенка, оставшегося без попечения родителей, срок (в течение 10 рабочих дней с даты выдачи направления на посещение ребенка) органу опеки попечительства  или оператору банка данных о </w:t>
      </w:r>
      <w:proofErr w:type="gramStart"/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детях</w:t>
      </w:r>
      <w:proofErr w:type="gramEnd"/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 о результатах посещения этого ребенка и принятом им решении в письменной форме.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 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При отказе кандидата от приема на воспитание  в свою семью предложенного ему ребенка он имеет право получить направление на посещение другого выбранного им ребенка.</w:t>
      </w:r>
    </w:p>
    <w:p w:rsidR="0017274D" w:rsidRPr="0017274D" w:rsidRDefault="0017274D" w:rsidP="0017274D">
      <w:pPr>
        <w:spacing w:before="120" w:after="0" w:line="240" w:lineRule="auto"/>
        <w:jc w:val="both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Форму устройства ребенка, оставшегося без попечения родителей, избирают органы опеки.</w:t>
      </w:r>
    </w:p>
    <w:p w:rsidR="0017274D" w:rsidRPr="0017274D" w:rsidRDefault="0017274D" w:rsidP="0017274D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 </w:t>
      </w:r>
    </w:p>
    <w:p w:rsidR="0017274D" w:rsidRPr="0017274D" w:rsidRDefault="0017274D" w:rsidP="0017274D">
      <w:pPr>
        <w:spacing w:before="12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17274D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 </w:t>
      </w:r>
    </w:p>
    <w:p w:rsidR="00D14D43" w:rsidRDefault="00D14D43"/>
    <w:sectPr w:rsidR="00D14D43" w:rsidSect="00D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74D"/>
    <w:rsid w:val="0017274D"/>
    <w:rsid w:val="00D1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698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7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2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OPEKA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2015-07-18T14:46:00Z</dcterms:created>
  <dcterms:modified xsi:type="dcterms:W3CDTF">2015-07-18T14:47:00Z</dcterms:modified>
</cp:coreProperties>
</file>